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72E7" w14:textId="77777777" w:rsidR="003661BE" w:rsidRPr="00CD4FC7" w:rsidRDefault="003661BE" w:rsidP="003661BE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CD4FC7">
        <w:rPr>
          <w:rFonts w:eastAsia="Times New Roman" w:cstheme="minorHAnsi"/>
          <w:b/>
          <w:bCs/>
          <w:lang w:eastAsia="hr-HR"/>
        </w:rPr>
        <w:t>OSNOVNA ŠKOLA STUDENCI</w:t>
      </w:r>
    </w:p>
    <w:p w14:paraId="11CFCD9B" w14:textId="77777777" w:rsidR="003C79A0" w:rsidRPr="00CD4FC7" w:rsidRDefault="003661BE" w:rsidP="003C79A0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CD4FC7">
        <w:rPr>
          <w:rFonts w:eastAsia="Times New Roman" w:cstheme="minorHAnsi"/>
          <w:bCs/>
          <w:lang w:eastAsia="hr-HR"/>
        </w:rPr>
        <w:t>Put škole 15;  21265 Studenci</w:t>
      </w:r>
    </w:p>
    <w:p w14:paraId="6C0F63EF" w14:textId="77777777" w:rsidR="003661BE" w:rsidRPr="00CD4FC7" w:rsidRDefault="003C79A0" w:rsidP="003C79A0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CD4FC7">
        <w:rPr>
          <w:rFonts w:cstheme="minorHAnsi"/>
        </w:rPr>
        <w:t>Povjerenstvo za procjenu i vrednovanje kandidata za zapošljavanje</w:t>
      </w:r>
    </w:p>
    <w:p w14:paraId="2579C39C" w14:textId="77777777" w:rsidR="003C79A0" w:rsidRPr="00CD4FC7" w:rsidRDefault="003C79A0" w:rsidP="003661B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14:paraId="4B51EDD8" w14:textId="77777777" w:rsidR="003C79A0" w:rsidRPr="00CD4FC7" w:rsidRDefault="003972A2" w:rsidP="003661B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Broj: Sl/2022</w:t>
      </w:r>
      <w:r w:rsidR="009A17C1" w:rsidRPr="00CD4FC7">
        <w:rPr>
          <w:rFonts w:eastAsia="Times New Roman" w:cstheme="minorHAnsi"/>
          <w:bCs/>
          <w:lang w:eastAsia="hr-HR"/>
        </w:rPr>
        <w:t>.</w:t>
      </w:r>
    </w:p>
    <w:p w14:paraId="211E5DD3" w14:textId="77777777" w:rsidR="003C79A0" w:rsidRPr="00CD4FC7" w:rsidRDefault="003C79A0" w:rsidP="003661B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14:paraId="25021FC7" w14:textId="77777777" w:rsidR="003661BE" w:rsidRPr="00CD4FC7" w:rsidRDefault="007E25CA" w:rsidP="003661B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Studenci, 4</w:t>
      </w:r>
      <w:r w:rsidR="002C4025" w:rsidRPr="00CD4FC7">
        <w:rPr>
          <w:rFonts w:eastAsia="Times New Roman" w:cstheme="minorHAnsi"/>
          <w:bCs/>
          <w:lang w:eastAsia="hr-HR"/>
        </w:rPr>
        <w:t xml:space="preserve">. </w:t>
      </w:r>
      <w:r>
        <w:rPr>
          <w:rFonts w:eastAsia="Times New Roman" w:cstheme="minorHAnsi"/>
          <w:bCs/>
          <w:lang w:eastAsia="hr-HR"/>
        </w:rPr>
        <w:t>listopada</w:t>
      </w:r>
      <w:r w:rsidR="003972A2">
        <w:rPr>
          <w:rFonts w:eastAsia="Times New Roman" w:cstheme="minorHAnsi"/>
          <w:bCs/>
          <w:lang w:eastAsia="hr-HR"/>
        </w:rPr>
        <w:t xml:space="preserve"> 2022</w:t>
      </w:r>
      <w:r w:rsidR="003661BE" w:rsidRPr="00CD4FC7">
        <w:rPr>
          <w:rFonts w:eastAsia="Times New Roman" w:cstheme="minorHAnsi"/>
          <w:bCs/>
          <w:lang w:eastAsia="hr-HR"/>
        </w:rPr>
        <w:t>.</w:t>
      </w:r>
    </w:p>
    <w:p w14:paraId="5D89CAA4" w14:textId="77777777" w:rsidR="003C79A0" w:rsidRPr="00CD4FC7" w:rsidRDefault="003C79A0" w:rsidP="003C79A0">
      <w:pPr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</w:p>
    <w:p w14:paraId="0A2FDC02" w14:textId="77777777" w:rsidR="00685DD4" w:rsidRPr="00CD4FC7" w:rsidRDefault="00637DF4" w:rsidP="00685DD4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CD4FC7">
        <w:rPr>
          <w:rFonts w:eastAsia="Times New Roman" w:cstheme="minorHAnsi"/>
          <w:b/>
          <w:bCs/>
          <w:sz w:val="28"/>
          <w:szCs w:val="28"/>
          <w:lang w:eastAsia="hr-HR"/>
        </w:rPr>
        <w:t xml:space="preserve">POZIV </w:t>
      </w:r>
      <w:r w:rsidR="00B00F91" w:rsidRPr="00CD4FC7">
        <w:rPr>
          <w:rFonts w:eastAsia="Times New Roman" w:cstheme="minorHAnsi"/>
          <w:b/>
          <w:bCs/>
          <w:sz w:val="28"/>
          <w:szCs w:val="28"/>
          <w:lang w:eastAsia="hr-HR"/>
        </w:rPr>
        <w:t>KANDIDATIMA Z</w:t>
      </w:r>
      <w:r w:rsidR="003972A2">
        <w:rPr>
          <w:rFonts w:eastAsia="Times New Roman" w:cstheme="minorHAnsi"/>
          <w:b/>
          <w:bCs/>
          <w:sz w:val="28"/>
          <w:szCs w:val="28"/>
          <w:lang w:eastAsia="hr-HR"/>
        </w:rPr>
        <w:t xml:space="preserve">A USMENO TESTIRANJE </w:t>
      </w:r>
    </w:p>
    <w:p w14:paraId="6917F7D0" w14:textId="77777777" w:rsidR="00637DF4" w:rsidRDefault="00637DF4" w:rsidP="00685DD4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hr-HR"/>
        </w:rPr>
      </w:pPr>
      <w:r w:rsidRPr="00CD4FC7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ZA RADNO MJESTO UČITELJA/ICE </w:t>
      </w:r>
      <w:r w:rsidR="00207E59">
        <w:rPr>
          <w:rFonts w:eastAsia="Times New Roman" w:cstheme="minorHAnsi"/>
          <w:b/>
          <w:bCs/>
          <w:sz w:val="28"/>
          <w:szCs w:val="28"/>
          <w:lang w:eastAsia="hr-HR"/>
        </w:rPr>
        <w:t>TJELESNE I ZDRAVSTVENE</w:t>
      </w:r>
      <w:r w:rsidR="003972A2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KULTURE I </w:t>
      </w:r>
      <w:r w:rsidR="00207E59">
        <w:rPr>
          <w:rFonts w:eastAsia="Times New Roman" w:cstheme="minorHAnsi"/>
          <w:b/>
          <w:bCs/>
          <w:sz w:val="28"/>
          <w:szCs w:val="28"/>
          <w:lang w:eastAsia="hr-HR"/>
        </w:rPr>
        <w:t>STRUČNE SURADNICE PEDAGOGINJ</w:t>
      </w:r>
      <w:r w:rsidR="003972A2">
        <w:rPr>
          <w:rFonts w:eastAsia="Times New Roman" w:cstheme="minorHAnsi"/>
          <w:b/>
          <w:bCs/>
          <w:sz w:val="28"/>
          <w:szCs w:val="28"/>
          <w:lang w:eastAsia="hr-HR"/>
        </w:rPr>
        <w:t>E</w:t>
      </w:r>
    </w:p>
    <w:p w14:paraId="578AE484" w14:textId="77777777" w:rsidR="00476F80" w:rsidRPr="00476F80" w:rsidRDefault="00476F80" w:rsidP="00685DD4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hr-HR"/>
        </w:rPr>
      </w:pPr>
    </w:p>
    <w:p w14:paraId="066D82C2" w14:textId="77777777" w:rsidR="00476F80" w:rsidRDefault="00476F80" w:rsidP="00476F80">
      <w:pPr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I.</w:t>
      </w:r>
    </w:p>
    <w:p w14:paraId="323E080C" w14:textId="77777777" w:rsidR="009A17C1" w:rsidRPr="00CD4FC7" w:rsidRDefault="00637DF4" w:rsidP="00476F80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CD4FC7">
        <w:rPr>
          <w:rFonts w:eastAsia="Times New Roman" w:cstheme="minorHAnsi"/>
          <w:bCs/>
          <w:lang w:eastAsia="hr-HR"/>
        </w:rPr>
        <w:t>Temeljem članka 14. Pravilnika o postupku zapošljavanja te procjeni i vrednovanju kandidata za zapošljavanje u Osnovnoj školi STUDENCI, Studenci, Povjerenstvo za procjenu i vrednovanje kandidata</w:t>
      </w:r>
      <w:r w:rsidR="00685DD4" w:rsidRPr="00CD4FC7">
        <w:rPr>
          <w:rFonts w:eastAsia="Times New Roman" w:cstheme="minorHAnsi"/>
          <w:bCs/>
          <w:lang w:eastAsia="hr-HR"/>
        </w:rPr>
        <w:t xml:space="preserve"> za zapošljavanje, nakon </w:t>
      </w:r>
      <w:r w:rsidR="00595AEE" w:rsidRPr="00CD4FC7">
        <w:rPr>
          <w:rFonts w:eastAsia="Times New Roman" w:cstheme="minorHAnsi"/>
          <w:bCs/>
          <w:lang w:eastAsia="hr-HR"/>
        </w:rPr>
        <w:t>razmatranja pristiglih molbi</w:t>
      </w:r>
      <w:r w:rsidR="00685DD4" w:rsidRPr="00CD4FC7">
        <w:rPr>
          <w:rFonts w:eastAsia="Times New Roman" w:cstheme="minorHAnsi"/>
          <w:bCs/>
          <w:lang w:eastAsia="hr-HR"/>
        </w:rPr>
        <w:t>,</w:t>
      </w:r>
      <w:r w:rsidR="00606A41" w:rsidRPr="00CD4FC7">
        <w:rPr>
          <w:rFonts w:eastAsia="Times New Roman" w:cstheme="minorHAnsi"/>
          <w:bCs/>
          <w:lang w:eastAsia="hr-HR"/>
        </w:rPr>
        <w:t xml:space="preserve"> donosi odluku kojom</w:t>
      </w:r>
      <w:r w:rsidR="00685DD4" w:rsidRPr="00CD4FC7">
        <w:rPr>
          <w:rFonts w:eastAsia="Times New Roman" w:cstheme="minorHAnsi"/>
          <w:bCs/>
          <w:lang w:eastAsia="hr-HR"/>
        </w:rPr>
        <w:t xml:space="preserve"> </w:t>
      </w:r>
      <w:r w:rsidR="00685DD4" w:rsidRPr="00CD4FC7">
        <w:rPr>
          <w:rFonts w:eastAsia="Times New Roman" w:cstheme="minorHAnsi"/>
          <w:b/>
          <w:bCs/>
          <w:lang w:eastAsia="hr-HR"/>
        </w:rPr>
        <w:t xml:space="preserve">upućuje poziv </w:t>
      </w:r>
      <w:r w:rsidRPr="00CD4FC7">
        <w:rPr>
          <w:rFonts w:eastAsia="Times New Roman" w:cstheme="minorHAnsi"/>
          <w:b/>
          <w:bCs/>
          <w:lang w:eastAsia="hr-HR"/>
        </w:rPr>
        <w:t>kandidat</w:t>
      </w:r>
      <w:r w:rsidR="00207E59">
        <w:rPr>
          <w:rFonts w:eastAsia="Times New Roman" w:cstheme="minorHAnsi"/>
          <w:b/>
          <w:bCs/>
          <w:lang w:eastAsia="hr-HR"/>
        </w:rPr>
        <w:t>ima</w:t>
      </w:r>
      <w:r w:rsidR="00685DD4" w:rsidRPr="00CD4FC7">
        <w:rPr>
          <w:rFonts w:eastAsia="Times New Roman" w:cstheme="minorHAnsi"/>
          <w:bCs/>
          <w:lang w:eastAsia="hr-HR"/>
        </w:rPr>
        <w:t xml:space="preserve"> </w:t>
      </w:r>
      <w:r w:rsidR="003972A2">
        <w:rPr>
          <w:rFonts w:eastAsia="Times New Roman" w:cstheme="minorHAnsi"/>
          <w:b/>
          <w:bCs/>
          <w:lang w:eastAsia="hr-HR"/>
        </w:rPr>
        <w:t xml:space="preserve">na usmeno testiranje pred povjerenstvom </w:t>
      </w:r>
      <w:r w:rsidRPr="00CD4FC7">
        <w:rPr>
          <w:rFonts w:eastAsia="Times New Roman" w:cstheme="minorHAnsi"/>
          <w:bCs/>
          <w:lang w:eastAsia="hr-HR"/>
        </w:rPr>
        <w:t>.</w:t>
      </w:r>
    </w:p>
    <w:p w14:paraId="10C77759" w14:textId="77777777" w:rsidR="003C79A0" w:rsidRPr="007E25CA" w:rsidRDefault="003972A2" w:rsidP="007A4D57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Usmeno testiranje pred povjerenstvom</w:t>
      </w:r>
      <w:r w:rsidR="00685DD4" w:rsidRPr="00CD4FC7">
        <w:rPr>
          <w:rFonts w:cstheme="minorHAnsi"/>
        </w:rPr>
        <w:t xml:space="preserve"> održat će se prema rasporedu</w:t>
      </w:r>
      <w:r w:rsidR="00207E59">
        <w:rPr>
          <w:rFonts w:cstheme="minorHAnsi"/>
        </w:rPr>
        <w:t xml:space="preserve"> dana</w:t>
      </w:r>
      <w:r w:rsidR="002A5A2E" w:rsidRPr="00CD4FC7">
        <w:rPr>
          <w:rFonts w:cstheme="minorHAnsi"/>
        </w:rPr>
        <w:t xml:space="preserve"> </w:t>
      </w:r>
      <w:r w:rsidR="00207E59" w:rsidRPr="007E25CA">
        <w:rPr>
          <w:rFonts w:cstheme="minorHAnsi"/>
          <w:b/>
        </w:rPr>
        <w:t>11</w:t>
      </w:r>
      <w:r w:rsidR="00595AEE" w:rsidRPr="007E25CA">
        <w:rPr>
          <w:rFonts w:cstheme="minorHAnsi"/>
          <w:b/>
        </w:rPr>
        <w:t xml:space="preserve">. </w:t>
      </w:r>
      <w:r w:rsidR="00207E59" w:rsidRPr="007E25CA">
        <w:rPr>
          <w:rFonts w:cstheme="minorHAnsi"/>
          <w:b/>
        </w:rPr>
        <w:t>listopada</w:t>
      </w:r>
      <w:r w:rsidRPr="007E25CA">
        <w:rPr>
          <w:rFonts w:cstheme="minorHAnsi"/>
          <w:b/>
        </w:rPr>
        <w:t xml:space="preserve"> 2022</w:t>
      </w:r>
      <w:r w:rsidR="002A5A2E" w:rsidRPr="007E25CA">
        <w:rPr>
          <w:rFonts w:cstheme="minorHAnsi"/>
          <w:b/>
        </w:rPr>
        <w:t>.</w:t>
      </w:r>
      <w:r w:rsidR="00207E59" w:rsidRPr="007E25CA">
        <w:rPr>
          <w:rFonts w:cstheme="minorHAnsi"/>
          <w:b/>
        </w:rPr>
        <w:t xml:space="preserve"> za tjelesnu i zdravstvenu kulturi i to:</w:t>
      </w:r>
    </w:p>
    <w:p w14:paraId="4F3A53A5" w14:textId="77777777" w:rsidR="007A4D57" w:rsidRPr="00CD4FC7" w:rsidRDefault="007A4D57" w:rsidP="007A4D57">
      <w:pPr>
        <w:spacing w:after="0" w:line="240" w:lineRule="auto"/>
        <w:jc w:val="both"/>
        <w:rPr>
          <w:rFonts w:cstheme="minorHAnsi"/>
        </w:rPr>
      </w:pPr>
    </w:p>
    <w:tbl>
      <w:tblPr>
        <w:tblStyle w:val="Reetkatablice"/>
        <w:tblW w:w="8784" w:type="dxa"/>
        <w:tblLook w:val="04A0" w:firstRow="1" w:lastRow="0" w:firstColumn="1" w:lastColumn="0" w:noHBand="0" w:noVBand="1"/>
      </w:tblPr>
      <w:tblGrid>
        <w:gridCol w:w="1701"/>
        <w:gridCol w:w="1984"/>
        <w:gridCol w:w="2831"/>
        <w:gridCol w:w="2268"/>
      </w:tblGrid>
      <w:tr w:rsidR="00463256" w:rsidRPr="00CD4FC7" w14:paraId="539F6C1E" w14:textId="77777777" w:rsidTr="00384A35">
        <w:trPr>
          <w:trHeight w:val="454"/>
        </w:trPr>
        <w:tc>
          <w:tcPr>
            <w:tcW w:w="1701" w:type="dxa"/>
            <w:vAlign w:val="center"/>
          </w:tcPr>
          <w:p w14:paraId="0BA7B145" w14:textId="77777777" w:rsidR="00463256" w:rsidRPr="00CD4FC7" w:rsidRDefault="00463256" w:rsidP="009A17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4FC7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1984" w:type="dxa"/>
            <w:vAlign w:val="center"/>
          </w:tcPr>
          <w:p w14:paraId="3B484CC1" w14:textId="77777777" w:rsidR="00463256" w:rsidRPr="00CD4FC7" w:rsidRDefault="00463256" w:rsidP="009A17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4FC7">
              <w:rPr>
                <w:rFonts w:cstheme="minorHAnsi"/>
                <w:sz w:val="24"/>
                <w:szCs w:val="24"/>
              </w:rPr>
              <w:t>Prezime kandidata</w:t>
            </w:r>
          </w:p>
        </w:tc>
        <w:tc>
          <w:tcPr>
            <w:tcW w:w="2831" w:type="dxa"/>
            <w:vAlign w:val="center"/>
          </w:tcPr>
          <w:p w14:paraId="5FB553CA" w14:textId="77777777" w:rsidR="00463256" w:rsidRPr="00CD4FC7" w:rsidRDefault="00595AEE" w:rsidP="00595A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4FC7">
              <w:rPr>
                <w:rFonts w:cstheme="minorHAnsi"/>
                <w:sz w:val="24"/>
                <w:szCs w:val="24"/>
              </w:rPr>
              <w:t>Nastavni sat</w:t>
            </w:r>
          </w:p>
        </w:tc>
        <w:tc>
          <w:tcPr>
            <w:tcW w:w="2268" w:type="dxa"/>
            <w:vAlign w:val="center"/>
          </w:tcPr>
          <w:p w14:paraId="4A5C57C1" w14:textId="77777777" w:rsidR="00463256" w:rsidRPr="00CD4FC7" w:rsidRDefault="00463256" w:rsidP="004632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4FC7">
              <w:rPr>
                <w:rFonts w:cstheme="minorHAnsi"/>
                <w:sz w:val="24"/>
                <w:szCs w:val="24"/>
              </w:rPr>
              <w:t>Razredni odjel</w:t>
            </w:r>
          </w:p>
        </w:tc>
      </w:tr>
      <w:tr w:rsidR="00463256" w:rsidRPr="00CD4FC7" w14:paraId="507BB7D3" w14:textId="77777777" w:rsidTr="003972A2">
        <w:trPr>
          <w:trHeight w:val="567"/>
        </w:trPr>
        <w:tc>
          <w:tcPr>
            <w:tcW w:w="1701" w:type="dxa"/>
            <w:vAlign w:val="center"/>
          </w:tcPr>
          <w:p w14:paraId="26038F0B" w14:textId="77777777" w:rsidR="00463256" w:rsidRPr="00CD4FC7" w:rsidRDefault="00463256" w:rsidP="009A17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4FC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14:paraId="71937228" w14:textId="77777777" w:rsidR="00463256" w:rsidRPr="00CD4FC7" w:rsidRDefault="00207E59" w:rsidP="00D837D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Udiljak</w:t>
            </w:r>
          </w:p>
        </w:tc>
        <w:tc>
          <w:tcPr>
            <w:tcW w:w="2831" w:type="dxa"/>
            <w:vAlign w:val="center"/>
          </w:tcPr>
          <w:p w14:paraId="408F6E94" w14:textId="77777777" w:rsidR="00463256" w:rsidRPr="00CD4FC7" w:rsidRDefault="00207E59" w:rsidP="002A1A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Utorak </w:t>
            </w:r>
            <w:r w:rsidR="00595AEE" w:rsidRPr="00CD4FC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="00595AEE" w:rsidRPr="00CD4FC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10</w:t>
            </w:r>
            <w:r w:rsidR="003972A2">
              <w:rPr>
                <w:rFonts w:cstheme="minorHAnsi"/>
                <w:sz w:val="24"/>
                <w:szCs w:val="24"/>
              </w:rPr>
              <w:t>.</w:t>
            </w:r>
            <w:r w:rsidR="00C80E3A">
              <w:rPr>
                <w:rFonts w:cstheme="minorHAnsi"/>
                <w:sz w:val="24"/>
                <w:szCs w:val="24"/>
              </w:rPr>
              <w:t xml:space="preserve"> </w:t>
            </w:r>
            <w:r w:rsidR="003972A2">
              <w:rPr>
                <w:rFonts w:cstheme="minorHAnsi"/>
                <w:sz w:val="24"/>
                <w:szCs w:val="24"/>
              </w:rPr>
              <w:t xml:space="preserve">2022. </w:t>
            </w:r>
            <w:r w:rsidR="00C80E3A">
              <w:rPr>
                <w:rFonts w:cstheme="minorHAnsi"/>
                <w:sz w:val="24"/>
                <w:szCs w:val="24"/>
              </w:rPr>
              <w:t xml:space="preserve">  </w:t>
            </w:r>
            <w:r w:rsidR="00595AEE" w:rsidRPr="00CD4FC7">
              <w:rPr>
                <w:rFonts w:cstheme="minorHAnsi"/>
                <w:sz w:val="24"/>
                <w:szCs w:val="24"/>
              </w:rPr>
              <w:t xml:space="preserve">od </w:t>
            </w:r>
            <w:r w:rsidR="00194BD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vertAlign w:val="superscript"/>
              </w:rPr>
              <w:t>4</w:t>
            </w:r>
            <w:r w:rsidR="003972A2">
              <w:rPr>
                <w:rFonts w:cstheme="minorHAnsi"/>
                <w:vertAlign w:val="superscript"/>
              </w:rPr>
              <w:t>0</w:t>
            </w:r>
            <w:r w:rsidR="00D837DE" w:rsidRPr="00CD4FC7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91FBF4" w14:textId="77777777" w:rsidR="00463256" w:rsidRPr="00CD4FC7" w:rsidRDefault="007E25CA" w:rsidP="007E2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C80E3A" w:rsidRPr="00CD4FC7" w14:paraId="3AE138FC" w14:textId="77777777" w:rsidTr="003972A2">
        <w:trPr>
          <w:trHeight w:val="567"/>
        </w:trPr>
        <w:tc>
          <w:tcPr>
            <w:tcW w:w="1701" w:type="dxa"/>
            <w:vAlign w:val="center"/>
          </w:tcPr>
          <w:p w14:paraId="354800FB" w14:textId="77777777" w:rsidR="00C80E3A" w:rsidRPr="00CD4FC7" w:rsidRDefault="00C80E3A" w:rsidP="009A17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14:paraId="265A632B" w14:textId="77777777" w:rsidR="00C80E3A" w:rsidRDefault="00207E59" w:rsidP="00D837D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Budić</w:t>
            </w:r>
          </w:p>
        </w:tc>
        <w:tc>
          <w:tcPr>
            <w:tcW w:w="2831" w:type="dxa"/>
            <w:vAlign w:val="center"/>
          </w:tcPr>
          <w:p w14:paraId="749B351F" w14:textId="77777777" w:rsidR="00C80E3A" w:rsidRPr="00207E59" w:rsidRDefault="00207E59" w:rsidP="00207E59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 xml:space="preserve">Utorak </w:t>
            </w:r>
            <w:r w:rsidRPr="00CD4FC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CD4FC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10. 2022.   </w:t>
            </w:r>
            <w:r w:rsidRPr="00CD4FC7">
              <w:rPr>
                <w:rFonts w:cstheme="minorHAnsi"/>
                <w:sz w:val="24"/>
                <w:szCs w:val="24"/>
              </w:rPr>
              <w:t xml:space="preserve">od </w:t>
            </w:r>
            <w:r>
              <w:rPr>
                <w:rFonts w:cstheme="minorHAnsi"/>
                <w:sz w:val="24"/>
                <w:szCs w:val="24"/>
              </w:rPr>
              <w:t xml:space="preserve"> 9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268" w:type="dxa"/>
            <w:vAlign w:val="center"/>
          </w:tcPr>
          <w:p w14:paraId="0151D190" w14:textId="77777777" w:rsidR="00C80E3A" w:rsidRPr="00CD4FC7" w:rsidRDefault="007E25CA" w:rsidP="007E2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463256" w:rsidRPr="00CD4FC7" w14:paraId="19719195" w14:textId="77777777" w:rsidTr="003972A2">
        <w:trPr>
          <w:trHeight w:val="567"/>
        </w:trPr>
        <w:tc>
          <w:tcPr>
            <w:tcW w:w="1701" w:type="dxa"/>
            <w:vAlign w:val="center"/>
          </w:tcPr>
          <w:p w14:paraId="6D53F3D0" w14:textId="77777777" w:rsidR="00463256" w:rsidRPr="00CD4FC7" w:rsidRDefault="001B5E5A" w:rsidP="009A17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63256" w:rsidRPr="00CD4FC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48BD56D1" w14:textId="391F2C12" w:rsidR="00463256" w:rsidRPr="00CD4FC7" w:rsidRDefault="00342E4B" w:rsidP="00D837D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Popović</w:t>
            </w:r>
          </w:p>
        </w:tc>
        <w:tc>
          <w:tcPr>
            <w:tcW w:w="2831" w:type="dxa"/>
            <w:vAlign w:val="center"/>
          </w:tcPr>
          <w:p w14:paraId="22B86B44" w14:textId="77777777" w:rsidR="00D837DE" w:rsidRPr="00CD4FC7" w:rsidRDefault="00207E59" w:rsidP="003972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Utorak </w:t>
            </w:r>
            <w:r w:rsidRPr="00CD4FC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CD4FC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10. 2022.   </w:t>
            </w:r>
            <w:r w:rsidRPr="00CD4FC7">
              <w:rPr>
                <w:rFonts w:cstheme="minorHAnsi"/>
                <w:sz w:val="24"/>
                <w:szCs w:val="24"/>
              </w:rPr>
              <w:t xml:space="preserve">od </w:t>
            </w:r>
            <w:r>
              <w:rPr>
                <w:rFonts w:cstheme="minorHAnsi"/>
                <w:sz w:val="24"/>
                <w:szCs w:val="24"/>
              </w:rPr>
              <w:t xml:space="preserve"> 10</w:t>
            </w:r>
            <w:r>
              <w:rPr>
                <w:rFonts w:cstheme="minorHAnsi"/>
                <w:vertAlign w:val="superscript"/>
              </w:rPr>
              <w:t>10</w:t>
            </w:r>
          </w:p>
        </w:tc>
        <w:tc>
          <w:tcPr>
            <w:tcW w:w="2268" w:type="dxa"/>
            <w:vAlign w:val="center"/>
          </w:tcPr>
          <w:p w14:paraId="17F7D34B" w14:textId="77777777" w:rsidR="00463256" w:rsidRPr="00CD4FC7" w:rsidRDefault="007E25CA" w:rsidP="007E2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</w:tbl>
    <w:p w14:paraId="34EAB07C" w14:textId="77777777" w:rsidR="0018122E" w:rsidRDefault="0018122E" w:rsidP="00476F8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A815718" w14:textId="77777777" w:rsidR="00207E59" w:rsidRPr="007E25CA" w:rsidRDefault="00207E59" w:rsidP="00207E5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Usmeno testiranje pred povjerenstvom</w:t>
      </w:r>
      <w:r w:rsidRPr="00CD4FC7">
        <w:rPr>
          <w:rFonts w:cstheme="minorHAnsi"/>
        </w:rPr>
        <w:t xml:space="preserve"> održat će se prema rasporedu</w:t>
      </w:r>
      <w:r>
        <w:rPr>
          <w:rFonts w:cstheme="minorHAnsi"/>
        </w:rPr>
        <w:t xml:space="preserve"> dana</w:t>
      </w:r>
      <w:r w:rsidRPr="00CD4FC7">
        <w:rPr>
          <w:rFonts w:cstheme="minorHAnsi"/>
        </w:rPr>
        <w:t xml:space="preserve"> </w:t>
      </w:r>
      <w:r w:rsidRPr="007E25CA">
        <w:rPr>
          <w:rFonts w:cstheme="minorHAnsi"/>
          <w:b/>
        </w:rPr>
        <w:t>12. listopada 2022. za stručnu suradnicu pedagoginju i to:</w:t>
      </w:r>
    </w:p>
    <w:p w14:paraId="3EF70996" w14:textId="77777777" w:rsidR="00207E59" w:rsidRDefault="00207E59" w:rsidP="00207E59">
      <w:pPr>
        <w:spacing w:after="0" w:line="240" w:lineRule="auto"/>
        <w:jc w:val="both"/>
        <w:rPr>
          <w:rFonts w:cstheme="minorHAnsi"/>
        </w:rPr>
      </w:pPr>
    </w:p>
    <w:tbl>
      <w:tblPr>
        <w:tblStyle w:val="Reetkatablice"/>
        <w:tblW w:w="8784" w:type="dxa"/>
        <w:tblLook w:val="04A0" w:firstRow="1" w:lastRow="0" w:firstColumn="1" w:lastColumn="0" w:noHBand="0" w:noVBand="1"/>
      </w:tblPr>
      <w:tblGrid>
        <w:gridCol w:w="1701"/>
        <w:gridCol w:w="1984"/>
        <w:gridCol w:w="2831"/>
        <w:gridCol w:w="2268"/>
      </w:tblGrid>
      <w:tr w:rsidR="00207E59" w:rsidRPr="00CD4FC7" w14:paraId="1F0EAC5A" w14:textId="77777777" w:rsidTr="00C64BA6">
        <w:trPr>
          <w:trHeight w:val="454"/>
        </w:trPr>
        <w:tc>
          <w:tcPr>
            <w:tcW w:w="1701" w:type="dxa"/>
            <w:vAlign w:val="center"/>
          </w:tcPr>
          <w:p w14:paraId="26379F7A" w14:textId="77777777" w:rsidR="00207E59" w:rsidRPr="00CD4FC7" w:rsidRDefault="00207E59" w:rsidP="00C64B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4FC7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1984" w:type="dxa"/>
            <w:vAlign w:val="center"/>
          </w:tcPr>
          <w:p w14:paraId="3EEDD8F2" w14:textId="77777777" w:rsidR="00207E59" w:rsidRPr="00CD4FC7" w:rsidRDefault="00207E59" w:rsidP="00C64B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4FC7">
              <w:rPr>
                <w:rFonts w:cstheme="minorHAnsi"/>
                <w:sz w:val="24"/>
                <w:szCs w:val="24"/>
              </w:rPr>
              <w:t>Prezime kandidata</w:t>
            </w:r>
          </w:p>
        </w:tc>
        <w:tc>
          <w:tcPr>
            <w:tcW w:w="2831" w:type="dxa"/>
            <w:vAlign w:val="center"/>
          </w:tcPr>
          <w:p w14:paraId="45A89CA5" w14:textId="77777777" w:rsidR="00207E59" w:rsidRPr="00CD4FC7" w:rsidRDefault="00207E59" w:rsidP="00C64B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4FC7">
              <w:rPr>
                <w:rFonts w:cstheme="minorHAnsi"/>
                <w:sz w:val="24"/>
                <w:szCs w:val="24"/>
              </w:rPr>
              <w:t>Nastavni sat</w:t>
            </w:r>
          </w:p>
        </w:tc>
        <w:tc>
          <w:tcPr>
            <w:tcW w:w="2268" w:type="dxa"/>
            <w:vAlign w:val="center"/>
          </w:tcPr>
          <w:p w14:paraId="708E52E2" w14:textId="77777777" w:rsidR="00207E59" w:rsidRPr="00CD4FC7" w:rsidRDefault="00207E59" w:rsidP="00C64B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4FC7">
              <w:rPr>
                <w:rFonts w:cstheme="minorHAnsi"/>
                <w:sz w:val="24"/>
                <w:szCs w:val="24"/>
              </w:rPr>
              <w:t>Razredni odjel</w:t>
            </w:r>
          </w:p>
        </w:tc>
      </w:tr>
      <w:tr w:rsidR="00207E59" w:rsidRPr="00CD4FC7" w14:paraId="60BE0188" w14:textId="77777777" w:rsidTr="00C64BA6">
        <w:trPr>
          <w:trHeight w:val="567"/>
        </w:trPr>
        <w:tc>
          <w:tcPr>
            <w:tcW w:w="1701" w:type="dxa"/>
            <w:vAlign w:val="center"/>
          </w:tcPr>
          <w:p w14:paraId="10F6C31A" w14:textId="77777777" w:rsidR="00207E59" w:rsidRPr="00CD4FC7" w:rsidRDefault="00207E59" w:rsidP="00C64B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4FC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14:paraId="65A77E15" w14:textId="77777777" w:rsidR="00207E59" w:rsidRPr="00CD4FC7" w:rsidRDefault="007E25CA" w:rsidP="00C64B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Gabelica</w:t>
            </w:r>
          </w:p>
        </w:tc>
        <w:tc>
          <w:tcPr>
            <w:tcW w:w="2831" w:type="dxa"/>
            <w:vAlign w:val="center"/>
          </w:tcPr>
          <w:p w14:paraId="659CC9F6" w14:textId="77777777" w:rsidR="00207E59" w:rsidRPr="00CD4FC7" w:rsidRDefault="00207E59" w:rsidP="00207E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Srijeda 12</w:t>
            </w:r>
            <w:r w:rsidRPr="00CD4FC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10. 2022.   </w:t>
            </w:r>
            <w:r w:rsidRPr="00CD4FC7">
              <w:rPr>
                <w:rFonts w:cstheme="minorHAnsi"/>
                <w:sz w:val="24"/>
                <w:szCs w:val="24"/>
              </w:rPr>
              <w:t xml:space="preserve">od </w:t>
            </w:r>
            <w:r>
              <w:rPr>
                <w:rFonts w:cstheme="minorHAnsi"/>
                <w:sz w:val="24"/>
                <w:szCs w:val="24"/>
              </w:rPr>
              <w:t xml:space="preserve"> 9</w:t>
            </w:r>
            <w:r>
              <w:rPr>
                <w:rFonts w:cstheme="minorHAnsi"/>
                <w:vertAlign w:val="superscript"/>
              </w:rPr>
              <w:t>40</w:t>
            </w:r>
            <w:r w:rsidRPr="00CD4FC7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AFCD681" w14:textId="77777777" w:rsidR="00207E59" w:rsidRPr="00CD4FC7" w:rsidRDefault="007E25CA" w:rsidP="007E2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207E59" w:rsidRPr="00CD4FC7" w14:paraId="0AAF5988" w14:textId="77777777" w:rsidTr="00C64BA6">
        <w:trPr>
          <w:trHeight w:val="567"/>
        </w:trPr>
        <w:tc>
          <w:tcPr>
            <w:tcW w:w="1701" w:type="dxa"/>
            <w:vAlign w:val="center"/>
          </w:tcPr>
          <w:p w14:paraId="744DA31B" w14:textId="77777777" w:rsidR="00207E59" w:rsidRPr="00CD4FC7" w:rsidRDefault="00207E59" w:rsidP="00C64B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14:paraId="617747CE" w14:textId="77777777" w:rsidR="00207E59" w:rsidRDefault="007E25CA" w:rsidP="00C64B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Strmo</w:t>
            </w:r>
          </w:p>
        </w:tc>
        <w:tc>
          <w:tcPr>
            <w:tcW w:w="2831" w:type="dxa"/>
            <w:vAlign w:val="center"/>
          </w:tcPr>
          <w:p w14:paraId="380A9390" w14:textId="77777777" w:rsidR="00207E59" w:rsidRPr="00207E59" w:rsidRDefault="00207E59" w:rsidP="00C64BA6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Srijeda</w:t>
            </w:r>
            <w:r w:rsidRPr="00CD4FC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CD4FC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10. 2022.   </w:t>
            </w:r>
            <w:r w:rsidRPr="00CD4FC7">
              <w:rPr>
                <w:rFonts w:cstheme="minorHAnsi"/>
                <w:sz w:val="24"/>
                <w:szCs w:val="24"/>
              </w:rPr>
              <w:t xml:space="preserve">od </w:t>
            </w:r>
            <w:r>
              <w:rPr>
                <w:rFonts w:cstheme="minorHAnsi"/>
                <w:sz w:val="24"/>
                <w:szCs w:val="24"/>
              </w:rPr>
              <w:t xml:space="preserve"> 9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268" w:type="dxa"/>
            <w:vAlign w:val="center"/>
          </w:tcPr>
          <w:p w14:paraId="08CBBA1B" w14:textId="77777777" w:rsidR="00207E59" w:rsidRPr="00CD4FC7" w:rsidRDefault="007E25CA" w:rsidP="007E2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207E59" w:rsidRPr="00CD4FC7" w14:paraId="65EA914B" w14:textId="77777777" w:rsidTr="00C64BA6">
        <w:trPr>
          <w:trHeight w:val="567"/>
        </w:trPr>
        <w:tc>
          <w:tcPr>
            <w:tcW w:w="1701" w:type="dxa"/>
            <w:vAlign w:val="center"/>
          </w:tcPr>
          <w:p w14:paraId="040A60F8" w14:textId="77777777" w:rsidR="00207E59" w:rsidRPr="00CD4FC7" w:rsidRDefault="00207E59" w:rsidP="00C64B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CD4FC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1D36C42A" w14:textId="77777777" w:rsidR="00207E59" w:rsidRPr="00CD4FC7" w:rsidRDefault="007E25CA" w:rsidP="00C64B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Ždero</w:t>
            </w:r>
          </w:p>
        </w:tc>
        <w:tc>
          <w:tcPr>
            <w:tcW w:w="2831" w:type="dxa"/>
            <w:vAlign w:val="center"/>
          </w:tcPr>
          <w:p w14:paraId="59105054" w14:textId="77777777" w:rsidR="00207E59" w:rsidRPr="00CD4FC7" w:rsidRDefault="00207E59" w:rsidP="00C64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Srijeda</w:t>
            </w:r>
            <w:r w:rsidRPr="00CD4FC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CD4FC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10. 2022.   </w:t>
            </w:r>
            <w:r w:rsidRPr="00CD4FC7">
              <w:rPr>
                <w:rFonts w:cstheme="minorHAnsi"/>
                <w:sz w:val="24"/>
                <w:szCs w:val="24"/>
              </w:rPr>
              <w:t xml:space="preserve">od </w:t>
            </w:r>
            <w:r>
              <w:rPr>
                <w:rFonts w:cstheme="minorHAnsi"/>
                <w:sz w:val="24"/>
                <w:szCs w:val="24"/>
              </w:rPr>
              <w:t xml:space="preserve"> 10</w:t>
            </w:r>
            <w:r>
              <w:rPr>
                <w:rFonts w:cstheme="minorHAnsi"/>
                <w:vertAlign w:val="superscript"/>
              </w:rPr>
              <w:t>10</w:t>
            </w:r>
          </w:p>
        </w:tc>
        <w:tc>
          <w:tcPr>
            <w:tcW w:w="2268" w:type="dxa"/>
            <w:vAlign w:val="center"/>
          </w:tcPr>
          <w:p w14:paraId="61E694E2" w14:textId="77777777" w:rsidR="00207E59" w:rsidRPr="00CD4FC7" w:rsidRDefault="007E25CA" w:rsidP="007E2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</w:tbl>
    <w:p w14:paraId="72D4D95D" w14:textId="77777777" w:rsidR="0018122E" w:rsidRDefault="0018122E" w:rsidP="00476F8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AA3ACEF" w14:textId="77777777" w:rsidR="00476F80" w:rsidRDefault="00476F80" w:rsidP="00476F8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II.</w:t>
      </w:r>
    </w:p>
    <w:p w14:paraId="242E393F" w14:textId="77777777" w:rsidR="00476F80" w:rsidRDefault="00476F80" w:rsidP="00476F8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1D36">
        <w:rPr>
          <w:rFonts w:eastAsia="Times New Roman" w:cstheme="minorHAnsi"/>
          <w:lang w:eastAsia="hr-HR"/>
        </w:rPr>
        <w:t>Procjena odnosno testiranje obaviti će se usmeno iz područja poznavanja propisa koji se odnose na djelokrug rada i to iz sljedećih izvora:</w:t>
      </w:r>
    </w:p>
    <w:p w14:paraId="1C56F95C" w14:textId="77777777" w:rsidR="00476F80" w:rsidRDefault="00476F80" w:rsidP="00476F8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FA8FF3C" w14:textId="77777777" w:rsidR="00476F80" w:rsidRDefault="00476F80" w:rsidP="00476F80">
      <w:pPr>
        <w:pStyle w:val="Odlomakpopisa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lang w:eastAsia="hr-HR"/>
        </w:rPr>
      </w:pPr>
      <w:r w:rsidRPr="00471D36">
        <w:rPr>
          <w:rFonts w:eastAsia="Times New Roman" w:cstheme="minorHAnsi"/>
          <w:lang w:eastAsia="hr-HR"/>
        </w:rPr>
        <w:t>Zakon o odgoju i obrazovanju u osnovnoj i srednjoj školi (NN 87/0</w:t>
      </w:r>
      <w:r>
        <w:rPr>
          <w:rFonts w:eastAsia="Times New Roman" w:cstheme="minorHAnsi"/>
          <w:lang w:eastAsia="hr-HR"/>
        </w:rPr>
        <w:t xml:space="preserve">8, 86/09, 92/10, 105/10, 90/11, </w:t>
      </w:r>
      <w:r w:rsidRPr="00471D36">
        <w:rPr>
          <w:rFonts w:eastAsia="Times New Roman" w:cstheme="minorHAnsi"/>
          <w:lang w:eastAsia="hr-HR"/>
        </w:rPr>
        <w:t>5/12, 16/12, 86/12, 126/12, 94/13, 152/14, 7/17,</w:t>
      </w:r>
      <w:r>
        <w:rPr>
          <w:rFonts w:eastAsia="Times New Roman" w:cstheme="minorHAnsi"/>
          <w:lang w:eastAsia="hr-HR"/>
        </w:rPr>
        <w:t xml:space="preserve"> </w:t>
      </w:r>
      <w:r w:rsidRPr="00471D36">
        <w:rPr>
          <w:rFonts w:eastAsia="Times New Roman" w:cstheme="minorHAnsi"/>
          <w:lang w:eastAsia="hr-HR"/>
        </w:rPr>
        <w:t>68/18,</w:t>
      </w:r>
      <w:r>
        <w:rPr>
          <w:rFonts w:eastAsia="Times New Roman" w:cstheme="minorHAnsi"/>
          <w:lang w:eastAsia="hr-HR"/>
        </w:rPr>
        <w:t xml:space="preserve"> </w:t>
      </w:r>
      <w:r w:rsidRPr="00471D36">
        <w:rPr>
          <w:rFonts w:eastAsia="Times New Roman" w:cstheme="minorHAnsi"/>
          <w:lang w:eastAsia="hr-HR"/>
        </w:rPr>
        <w:t xml:space="preserve">98/19, 64/20) </w:t>
      </w:r>
      <w:hyperlink r:id="rId6" w:history="1">
        <w:r w:rsidRPr="00471D36">
          <w:rPr>
            <w:rStyle w:val="Hiperveza"/>
            <w:rFonts w:eastAsia="Times New Roman" w:cstheme="minorHAnsi"/>
            <w:lang w:eastAsia="hr-HR"/>
          </w:rPr>
          <w:t>https://www.zakon.hr/z/317/Zakon-o-odgoju-i-obrazovanju-u-osnovnoj-i-srednjoj-%C5%A1koli</w:t>
        </w:r>
      </w:hyperlink>
    </w:p>
    <w:p w14:paraId="21547F35" w14:textId="77777777" w:rsidR="00476F80" w:rsidRPr="008764D2" w:rsidRDefault="00476F80" w:rsidP="00476F80">
      <w:pPr>
        <w:spacing w:after="0" w:line="240" w:lineRule="auto"/>
        <w:ind w:left="66"/>
        <w:jc w:val="both"/>
        <w:rPr>
          <w:rFonts w:eastAsia="Times New Roman" w:cstheme="minorHAnsi"/>
          <w:lang w:eastAsia="hr-HR"/>
        </w:rPr>
      </w:pPr>
    </w:p>
    <w:p w14:paraId="41A0E8FF" w14:textId="77777777" w:rsidR="00476F80" w:rsidRPr="00471D36" w:rsidRDefault="00476F80" w:rsidP="00476F80">
      <w:pPr>
        <w:pStyle w:val="Odlomakpopisa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lang w:eastAsia="hr-HR"/>
        </w:rPr>
      </w:pPr>
      <w:r w:rsidRPr="00471D36">
        <w:rPr>
          <w:rFonts w:eastAsia="Times New Roman" w:cstheme="minorHAnsi"/>
          <w:lang w:eastAsia="hr-HR"/>
        </w:rPr>
        <w:t>Pravilnik o načinima, postupcima i elementima vrednovanja učenika u osnovnoj i srednjoj školi (NN 112/10, 82/19 i 43/20)</w:t>
      </w:r>
    </w:p>
    <w:p w14:paraId="5517692F" w14:textId="77777777" w:rsidR="00476F80" w:rsidRDefault="00342E4B" w:rsidP="00476F80">
      <w:pPr>
        <w:spacing w:after="0" w:line="240" w:lineRule="auto"/>
        <w:ind w:left="426"/>
        <w:jc w:val="both"/>
        <w:rPr>
          <w:rFonts w:eastAsia="Times New Roman" w:cstheme="minorHAnsi"/>
          <w:lang w:eastAsia="hr-HR"/>
        </w:rPr>
      </w:pPr>
      <w:hyperlink r:id="rId7" w:history="1">
        <w:r w:rsidR="00476F80" w:rsidRPr="005F56CF">
          <w:rPr>
            <w:rStyle w:val="Hiperveza"/>
            <w:rFonts w:eastAsia="Times New Roman" w:cstheme="minorHAnsi"/>
            <w:lang w:eastAsia="hr-HR"/>
          </w:rPr>
          <w:t>https://narodne-novine.nn.hr/clanci/sluzbeni/2010_09_112_2973.html</w:t>
        </w:r>
      </w:hyperlink>
    </w:p>
    <w:p w14:paraId="7E2B1526" w14:textId="77777777" w:rsidR="00476F80" w:rsidRDefault="00342E4B" w:rsidP="00476F80">
      <w:pPr>
        <w:spacing w:after="0" w:line="240" w:lineRule="auto"/>
        <w:ind w:left="426"/>
        <w:jc w:val="both"/>
        <w:rPr>
          <w:rFonts w:eastAsia="Times New Roman" w:cstheme="minorHAnsi"/>
          <w:lang w:eastAsia="hr-HR"/>
        </w:rPr>
      </w:pPr>
      <w:hyperlink r:id="rId8" w:history="1">
        <w:r w:rsidR="00476F80" w:rsidRPr="005F56CF">
          <w:rPr>
            <w:rStyle w:val="Hiperveza"/>
            <w:rFonts w:eastAsia="Times New Roman" w:cstheme="minorHAnsi"/>
            <w:lang w:eastAsia="hr-HR"/>
          </w:rPr>
          <w:t>https://narodne-novine.nn.hr/clanci/sluzbeni/2019_09_82_1709.html</w:t>
        </w:r>
      </w:hyperlink>
    </w:p>
    <w:p w14:paraId="55D75448" w14:textId="77777777" w:rsidR="00476F80" w:rsidRDefault="00342E4B" w:rsidP="00476F80">
      <w:pPr>
        <w:spacing w:after="0" w:line="240" w:lineRule="auto"/>
        <w:ind w:left="426"/>
        <w:jc w:val="both"/>
        <w:rPr>
          <w:rFonts w:eastAsia="Times New Roman" w:cstheme="minorHAnsi"/>
          <w:lang w:eastAsia="hr-HR"/>
        </w:rPr>
      </w:pPr>
      <w:hyperlink r:id="rId9" w:history="1">
        <w:r w:rsidR="00476F80" w:rsidRPr="005F56CF">
          <w:rPr>
            <w:rStyle w:val="Hiperveza"/>
            <w:rFonts w:eastAsia="Times New Roman" w:cstheme="minorHAnsi"/>
            <w:lang w:eastAsia="hr-HR"/>
          </w:rPr>
          <w:t>https://narodne-novine.nn.hr/clanci/sluzbeni/2020_04_43_898.html</w:t>
        </w:r>
      </w:hyperlink>
    </w:p>
    <w:p w14:paraId="40C92333" w14:textId="77777777" w:rsidR="00476F80" w:rsidRDefault="00476F80" w:rsidP="00476F8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F583B95" w14:textId="77777777" w:rsidR="00640025" w:rsidRPr="00821682" w:rsidRDefault="00640025" w:rsidP="00640025">
      <w:pPr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821682">
        <w:rPr>
          <w:sz w:val="24"/>
          <w:szCs w:val="24"/>
        </w:rPr>
        <w:t>Pravilnik o tjednim radnim obvezama učitelja i stručnih suradnika u osnovnoj školi (Narodne novine, broj 34/14., 40/14., 103/14. i 102/19.)</w:t>
      </w:r>
    </w:p>
    <w:p w14:paraId="76F2BE15" w14:textId="77777777" w:rsidR="00640025" w:rsidRDefault="00640025" w:rsidP="00640025">
      <w:pPr>
        <w:pStyle w:val="Odlomakpopisa"/>
        <w:spacing w:after="0" w:line="240" w:lineRule="auto"/>
        <w:ind w:left="426"/>
        <w:jc w:val="both"/>
        <w:rPr>
          <w:rFonts w:eastAsia="Times New Roman" w:cstheme="minorHAnsi"/>
          <w:lang w:eastAsia="hr-HR"/>
        </w:rPr>
      </w:pPr>
    </w:p>
    <w:p w14:paraId="59732EAD" w14:textId="77777777" w:rsidR="00476F80" w:rsidRDefault="00476F80" w:rsidP="00476F80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Kurikulum za</w:t>
      </w:r>
      <w:r w:rsidR="003972A2">
        <w:rPr>
          <w:rFonts w:eastAsia="Times New Roman" w:cstheme="minorHAnsi"/>
          <w:lang w:eastAsia="hr-HR"/>
        </w:rPr>
        <w:t xml:space="preserve"> nastavni predmet </w:t>
      </w:r>
      <w:r w:rsidR="00207E59">
        <w:rPr>
          <w:rFonts w:eastAsia="Times New Roman" w:cstheme="minorHAnsi"/>
          <w:lang w:eastAsia="hr-HR"/>
        </w:rPr>
        <w:t xml:space="preserve">TJELESNA I ZDRAVSTVENA </w:t>
      </w:r>
      <w:r w:rsidR="003972A2">
        <w:rPr>
          <w:rFonts w:eastAsia="Times New Roman" w:cstheme="minorHAnsi"/>
          <w:lang w:eastAsia="hr-HR"/>
        </w:rPr>
        <w:t>KULTURA</w:t>
      </w:r>
    </w:p>
    <w:p w14:paraId="32D29736" w14:textId="77777777" w:rsidR="00476F80" w:rsidRDefault="00342E4B" w:rsidP="00476F80">
      <w:pPr>
        <w:pStyle w:val="Odlomakpopisa"/>
        <w:ind w:left="426"/>
        <w:rPr>
          <w:rFonts w:eastAsia="Times New Roman" w:cstheme="minorHAnsi"/>
          <w:lang w:eastAsia="hr-HR"/>
        </w:rPr>
      </w:pPr>
      <w:hyperlink r:id="rId10" w:history="1">
        <w:r w:rsidR="002A1ACD" w:rsidRPr="002A1ACD">
          <w:rPr>
            <w:rStyle w:val="Hiperveza"/>
            <w:rFonts w:eastAsia="Times New Roman" w:cstheme="minorHAnsi"/>
            <w:lang w:eastAsia="hr-HR"/>
          </w:rPr>
          <w:t>Odluka o donošenju kurikuluma za nastavni predmet Likovna kultura za osnovne škole i likovne umjetnosti za gimnazije u RH</w:t>
        </w:r>
      </w:hyperlink>
    </w:p>
    <w:p w14:paraId="53FFCFD4" w14:textId="77777777" w:rsidR="003972A2" w:rsidRPr="00476F80" w:rsidRDefault="003972A2" w:rsidP="00476F80">
      <w:pPr>
        <w:pStyle w:val="Odlomakpopisa"/>
        <w:ind w:left="426"/>
        <w:rPr>
          <w:rFonts w:eastAsia="Times New Roman" w:cstheme="minorHAnsi"/>
          <w:lang w:eastAsia="hr-HR"/>
        </w:rPr>
      </w:pPr>
    </w:p>
    <w:p w14:paraId="17D4D05C" w14:textId="77777777" w:rsidR="00476F80" w:rsidRPr="00476F80" w:rsidRDefault="00476F80" w:rsidP="00476F80">
      <w:pPr>
        <w:pStyle w:val="Odlomakpopisa"/>
        <w:numPr>
          <w:ilvl w:val="0"/>
          <w:numId w:val="3"/>
        </w:numPr>
        <w:ind w:left="426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Kurikulum za </w:t>
      </w:r>
      <w:r w:rsidR="00207E59">
        <w:rPr>
          <w:rFonts w:eastAsia="Times New Roman" w:cstheme="minorHAnsi"/>
          <w:lang w:eastAsia="hr-HR"/>
        </w:rPr>
        <w:t>među</w:t>
      </w:r>
      <w:r>
        <w:rPr>
          <w:rFonts w:eastAsia="Times New Roman" w:cstheme="minorHAnsi"/>
          <w:lang w:eastAsia="hr-HR"/>
        </w:rPr>
        <w:t>predmet</w:t>
      </w:r>
      <w:r w:rsidR="00207E59">
        <w:rPr>
          <w:rFonts w:eastAsia="Times New Roman" w:cstheme="minorHAnsi"/>
          <w:lang w:eastAsia="hr-HR"/>
        </w:rPr>
        <w:t>nu temu UČITI KAKO UČITI</w:t>
      </w:r>
      <w:r w:rsidR="007E25CA">
        <w:rPr>
          <w:rFonts w:eastAsia="Times New Roman" w:cstheme="minorHAnsi"/>
          <w:lang w:eastAsia="hr-HR"/>
        </w:rPr>
        <w:t xml:space="preserve"> – za PEDAGOGINJU</w:t>
      </w:r>
    </w:p>
    <w:p w14:paraId="5A4A12D1" w14:textId="77777777" w:rsidR="00476F80" w:rsidRPr="007E25CA" w:rsidRDefault="007E25CA" w:rsidP="00476F80">
      <w:pPr>
        <w:pStyle w:val="Odlomakpopisa"/>
        <w:ind w:left="426"/>
        <w:rPr>
          <w:rStyle w:val="Hiperveza"/>
        </w:rPr>
      </w:pPr>
      <w:r>
        <w:fldChar w:fldCharType="begin"/>
      </w:r>
      <w:r>
        <w:instrText xml:space="preserve"> HYPERLINK "https://narodne-novine.nn.hr/clanci/sluzbeni/2019_01_7_154.html" </w:instrText>
      </w:r>
      <w:r>
        <w:fldChar w:fldCharType="separate"/>
      </w:r>
      <w:r w:rsidR="00476F80" w:rsidRPr="007E25CA">
        <w:rPr>
          <w:rStyle w:val="Hiperveza"/>
        </w:rPr>
        <w:t xml:space="preserve">Odluka o donošenju kurikuluma za </w:t>
      </w:r>
      <w:r>
        <w:rPr>
          <w:rStyle w:val="Hiperveza"/>
        </w:rPr>
        <w:t>među</w:t>
      </w:r>
      <w:r w:rsidR="00476F80" w:rsidRPr="007E25CA">
        <w:rPr>
          <w:rStyle w:val="Hiperveza"/>
        </w:rPr>
        <w:t>predmet</w:t>
      </w:r>
      <w:r>
        <w:rPr>
          <w:rStyle w:val="Hiperveza"/>
        </w:rPr>
        <w:t>nu temu učiti kako učiti</w:t>
      </w:r>
      <w:r w:rsidR="00476F80" w:rsidRPr="007E25CA">
        <w:rPr>
          <w:rStyle w:val="Hiperveza"/>
        </w:rPr>
        <w:t xml:space="preserve"> za osnovne ško</w:t>
      </w:r>
      <w:r>
        <w:rPr>
          <w:rStyle w:val="Hiperveza"/>
        </w:rPr>
        <w:t xml:space="preserve">le u Republici Hrvatskoj </w:t>
      </w:r>
      <w:r w:rsidR="00476F80" w:rsidRPr="007E25CA">
        <w:rPr>
          <w:rStyle w:val="Hiperveza"/>
        </w:rPr>
        <w:t xml:space="preserve"> </w:t>
      </w:r>
    </w:p>
    <w:p w14:paraId="66C0BB02" w14:textId="77777777" w:rsidR="00476F80" w:rsidRPr="00476F80" w:rsidRDefault="007E25CA" w:rsidP="00476F80">
      <w:pPr>
        <w:pStyle w:val="Odlomakpopisa"/>
        <w:ind w:left="426"/>
        <w:rPr>
          <w:rFonts w:eastAsia="Times New Roman" w:cstheme="minorHAnsi"/>
          <w:lang w:eastAsia="hr-HR"/>
        </w:rPr>
      </w:pPr>
      <w:r>
        <w:fldChar w:fldCharType="end"/>
      </w:r>
    </w:p>
    <w:p w14:paraId="0AD328D3" w14:textId="77777777" w:rsidR="00476F80" w:rsidRPr="00F20411" w:rsidRDefault="00476F80" w:rsidP="00476F80">
      <w:pPr>
        <w:pStyle w:val="Odlomakpopisa"/>
        <w:numPr>
          <w:ilvl w:val="0"/>
          <w:numId w:val="3"/>
        </w:numPr>
        <w:spacing w:after="0" w:line="240" w:lineRule="auto"/>
        <w:ind w:left="425" w:hanging="357"/>
        <w:rPr>
          <w:rFonts w:eastAsia="Times New Roman" w:cstheme="minorHAnsi"/>
          <w:lang w:eastAsia="hr-HR"/>
        </w:rPr>
      </w:pPr>
      <w:r w:rsidRPr="00821682">
        <w:rPr>
          <w:sz w:val="24"/>
          <w:szCs w:val="24"/>
        </w:rPr>
        <w:t>Kompetencije učitelja 21. stoljeća (Loomen – Carnet)</w:t>
      </w:r>
    </w:p>
    <w:p w14:paraId="61D1EC1C" w14:textId="77777777" w:rsidR="00476F80" w:rsidRDefault="00342E4B" w:rsidP="00476F80">
      <w:pPr>
        <w:spacing w:after="0" w:line="240" w:lineRule="auto"/>
        <w:ind w:left="425"/>
        <w:jc w:val="both"/>
        <w:rPr>
          <w:rStyle w:val="Hiperveza"/>
          <w:rFonts w:eastAsia="Times New Roman" w:cstheme="minorHAnsi"/>
          <w:lang w:eastAsia="hr-HR"/>
        </w:rPr>
      </w:pPr>
      <w:hyperlink r:id="rId11" w:history="1">
        <w:r w:rsidR="00476F80" w:rsidRPr="00615B26">
          <w:rPr>
            <w:rStyle w:val="Hiperveza"/>
            <w:rFonts w:eastAsia="Times New Roman" w:cstheme="minorHAnsi"/>
            <w:lang w:eastAsia="hr-HR"/>
          </w:rPr>
          <w:t>https://loomen.carnet.hr/pluginfile.php/2141826/mod_resource/content/0/Kompetencije%20u%C4%8Ditelja%2021.%20stolje%C4%87a.pdf</w:t>
        </w:r>
      </w:hyperlink>
    </w:p>
    <w:p w14:paraId="4D5BD69F" w14:textId="77777777" w:rsidR="007A4D57" w:rsidRDefault="007A4D57" w:rsidP="00476F80">
      <w:pPr>
        <w:spacing w:after="0" w:line="240" w:lineRule="auto"/>
        <w:ind w:left="425"/>
        <w:jc w:val="both"/>
        <w:rPr>
          <w:rFonts w:eastAsia="Times New Roman" w:cstheme="minorHAnsi"/>
          <w:bCs/>
          <w:lang w:eastAsia="hr-HR"/>
        </w:rPr>
      </w:pPr>
    </w:p>
    <w:p w14:paraId="5745738B" w14:textId="77777777" w:rsidR="00476F80" w:rsidRDefault="00476F80" w:rsidP="00476F80">
      <w:pPr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III.</w:t>
      </w:r>
    </w:p>
    <w:p w14:paraId="1E6E76E9" w14:textId="77777777" w:rsidR="00637DF4" w:rsidRDefault="004420D2" w:rsidP="00476F80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CD4FC7">
        <w:rPr>
          <w:rFonts w:eastAsia="Times New Roman" w:cstheme="minorHAnsi"/>
          <w:bCs/>
          <w:lang w:eastAsia="hr-HR"/>
        </w:rPr>
        <w:t xml:space="preserve">Kandidat je </w:t>
      </w:r>
      <w:r w:rsidR="00637DF4" w:rsidRPr="00CD4FC7">
        <w:rPr>
          <w:rFonts w:eastAsia="Times New Roman" w:cstheme="minorHAnsi"/>
          <w:bCs/>
          <w:lang w:eastAsia="hr-HR"/>
        </w:rPr>
        <w:t>duž</w:t>
      </w:r>
      <w:r w:rsidRPr="00CD4FC7">
        <w:rPr>
          <w:rFonts w:eastAsia="Times New Roman" w:cstheme="minorHAnsi"/>
          <w:bCs/>
          <w:lang w:eastAsia="hr-HR"/>
        </w:rPr>
        <w:t>an</w:t>
      </w:r>
      <w:r w:rsidR="00637DF4" w:rsidRPr="00CD4FC7">
        <w:rPr>
          <w:rFonts w:eastAsia="Times New Roman" w:cstheme="minorHAnsi"/>
          <w:bCs/>
          <w:lang w:eastAsia="hr-HR"/>
        </w:rPr>
        <w:t xml:space="preserve"> sa sobom imati odgovarajuću identifikacijsku ispravu (važeću osobnu iskaznicu, pu</w:t>
      </w:r>
      <w:r w:rsidRPr="00CD4FC7">
        <w:rPr>
          <w:rFonts w:eastAsia="Times New Roman" w:cstheme="minorHAnsi"/>
          <w:bCs/>
          <w:lang w:eastAsia="hr-HR"/>
        </w:rPr>
        <w:t>tovnicu ili vozačku dozvolu). Ako kandidat</w:t>
      </w:r>
      <w:r w:rsidR="00637DF4" w:rsidRPr="00CD4FC7">
        <w:rPr>
          <w:rFonts w:eastAsia="Times New Roman" w:cstheme="minorHAnsi"/>
          <w:bCs/>
          <w:lang w:eastAsia="hr-HR"/>
        </w:rPr>
        <w:t xml:space="preserve"> ne pristupi </w:t>
      </w:r>
      <w:r w:rsidR="003972A2">
        <w:rPr>
          <w:rFonts w:eastAsia="Times New Roman" w:cstheme="minorHAnsi"/>
          <w:bCs/>
          <w:lang w:eastAsia="hr-HR"/>
        </w:rPr>
        <w:t>usmenom testiranju</w:t>
      </w:r>
      <w:r w:rsidR="00637DF4" w:rsidRPr="00CD4FC7">
        <w:rPr>
          <w:rFonts w:eastAsia="Times New Roman" w:cstheme="minorHAnsi"/>
          <w:bCs/>
          <w:lang w:eastAsia="hr-HR"/>
        </w:rPr>
        <w:t xml:space="preserve"> smatrati će se da je povukao prijavu na natječaj.</w:t>
      </w:r>
    </w:p>
    <w:p w14:paraId="0ED49334" w14:textId="77777777" w:rsidR="00476F80" w:rsidRDefault="00476F80" w:rsidP="00476F80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14:paraId="0C1FDB1B" w14:textId="77777777" w:rsidR="00476F80" w:rsidRDefault="00476F80" w:rsidP="00476F8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IV.</w:t>
      </w:r>
    </w:p>
    <w:p w14:paraId="3D254A8A" w14:textId="77777777" w:rsidR="00476F80" w:rsidRDefault="00476F80" w:rsidP="00476F8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1D36">
        <w:rPr>
          <w:rFonts w:eastAsia="Times New Roman" w:cstheme="minorHAnsi"/>
          <w:lang w:eastAsia="hr-HR"/>
        </w:rPr>
        <w:t xml:space="preserve">Ovaj poziv na </w:t>
      </w:r>
      <w:r>
        <w:rPr>
          <w:rFonts w:eastAsia="Times New Roman" w:cstheme="minorHAnsi"/>
          <w:lang w:eastAsia="hr-HR"/>
        </w:rPr>
        <w:t>razgovor-intervju</w:t>
      </w:r>
      <w:r w:rsidRPr="00471D36">
        <w:rPr>
          <w:rFonts w:eastAsia="Times New Roman" w:cstheme="minorHAnsi"/>
          <w:lang w:eastAsia="hr-HR"/>
        </w:rPr>
        <w:t xml:space="preserve"> upućuje se najmanje pet dana prije dana određenog za procjenu odnosno testiranje.</w:t>
      </w:r>
    </w:p>
    <w:p w14:paraId="5AA95EA8" w14:textId="77777777" w:rsidR="00476F80" w:rsidRDefault="00476F80" w:rsidP="00476F80">
      <w:pPr>
        <w:jc w:val="both"/>
        <w:rPr>
          <w:rFonts w:eastAsia="Times New Roman" w:cstheme="minorHAnsi"/>
          <w:lang w:eastAsia="hr-HR"/>
        </w:rPr>
      </w:pPr>
      <w:r w:rsidRPr="00471D36">
        <w:rPr>
          <w:rFonts w:eastAsia="Times New Roman" w:cstheme="minorHAnsi"/>
          <w:lang w:eastAsia="hr-HR"/>
        </w:rPr>
        <w:t xml:space="preserve">Poziv se u pravilu dostavlja putem elektroničke pošte i objavljuje na mrežnoj stranici Škole rubrika </w:t>
      </w:r>
      <w:r>
        <w:rPr>
          <w:rFonts w:eastAsia="Times New Roman" w:cstheme="minorHAnsi"/>
          <w:lang w:eastAsia="hr-HR"/>
        </w:rPr>
        <w:t>NATJEČAJI, pod rubrika POZIV KANDIDATIMA</w:t>
      </w:r>
      <w:r w:rsidRPr="00471D36">
        <w:rPr>
          <w:rFonts w:eastAsia="Times New Roman" w:cstheme="minorHAnsi"/>
          <w:lang w:eastAsia="hr-HR"/>
        </w:rPr>
        <w:t xml:space="preserve"> NA TESTIRANJE</w:t>
      </w:r>
      <w:r>
        <w:rPr>
          <w:rFonts w:eastAsia="Times New Roman" w:cstheme="minorHAnsi"/>
          <w:lang w:eastAsia="hr-HR"/>
        </w:rPr>
        <w:t xml:space="preserve">  </w:t>
      </w:r>
      <w:r w:rsidRPr="00471D36">
        <w:rPr>
          <w:rFonts w:eastAsia="Times New Roman" w:cstheme="minorHAnsi"/>
          <w:lang w:eastAsia="hr-HR"/>
        </w:rPr>
        <w:t xml:space="preserve"> </w:t>
      </w:r>
      <w:hyperlink r:id="rId12" w:history="1">
        <w:r w:rsidRPr="000D5624">
          <w:rPr>
            <w:rStyle w:val="Hiperveza"/>
            <w:rFonts w:eastAsia="Times New Roman" w:cstheme="minorHAnsi"/>
            <w:lang w:eastAsia="hr-HR"/>
          </w:rPr>
          <w:t>http://os-studenci.skole.hr/natje_aji</w:t>
        </w:r>
      </w:hyperlink>
      <w:r>
        <w:rPr>
          <w:rFonts w:eastAsia="Times New Roman" w:cstheme="minorHAnsi"/>
          <w:lang w:eastAsia="hr-HR"/>
        </w:rPr>
        <w:t xml:space="preserve"> </w:t>
      </w:r>
    </w:p>
    <w:p w14:paraId="2EA13AA9" w14:textId="77777777" w:rsidR="00476F80" w:rsidRPr="00CD4FC7" w:rsidRDefault="00476F80" w:rsidP="002C4025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</w:p>
    <w:p w14:paraId="7A5420E2" w14:textId="77777777" w:rsidR="0029478B" w:rsidRDefault="00637DF4" w:rsidP="00606A41">
      <w:pPr>
        <w:spacing w:before="100" w:beforeAutospacing="1" w:after="100" w:afterAutospacing="1" w:line="240" w:lineRule="auto"/>
        <w:jc w:val="right"/>
        <w:rPr>
          <w:rFonts w:eastAsia="Times New Roman" w:cstheme="minorHAnsi"/>
          <w:bCs/>
          <w:i/>
          <w:lang w:eastAsia="hr-HR"/>
        </w:rPr>
      </w:pPr>
      <w:r w:rsidRPr="00CD4FC7">
        <w:rPr>
          <w:rFonts w:eastAsia="Times New Roman" w:cstheme="minorHAnsi"/>
          <w:bCs/>
          <w:i/>
          <w:lang w:eastAsia="hr-HR"/>
        </w:rPr>
        <w:t>Povjerenstvo za procjenu i vrednovanje kandidata za zapošljavanje</w:t>
      </w:r>
    </w:p>
    <w:p w14:paraId="087E86D9" w14:textId="77777777" w:rsidR="00476F80" w:rsidRDefault="00476F80" w:rsidP="00476F80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</w:p>
    <w:p w14:paraId="7907F956" w14:textId="77777777" w:rsidR="00476F80" w:rsidRDefault="00476F80" w:rsidP="00476F8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1D36">
        <w:rPr>
          <w:rFonts w:eastAsia="Times New Roman" w:cstheme="minorHAnsi"/>
          <w:lang w:eastAsia="hr-HR"/>
        </w:rPr>
        <w:t>1. Kandidatima po natječaju</w:t>
      </w:r>
    </w:p>
    <w:p w14:paraId="41F55586" w14:textId="77777777" w:rsidR="00476F80" w:rsidRPr="00471D36" w:rsidRDefault="00476F80" w:rsidP="00476F80">
      <w:pPr>
        <w:spacing w:after="0" w:line="240" w:lineRule="auto"/>
        <w:jc w:val="both"/>
        <w:rPr>
          <w:rFonts w:cstheme="minorHAnsi"/>
        </w:rPr>
      </w:pPr>
      <w:r w:rsidRPr="00471D36">
        <w:rPr>
          <w:rFonts w:eastAsia="Times New Roman" w:cstheme="minorHAnsi"/>
          <w:lang w:eastAsia="hr-HR"/>
        </w:rPr>
        <w:t>2. Pismohrana</w:t>
      </w:r>
    </w:p>
    <w:p w14:paraId="7BDEC420" w14:textId="77777777" w:rsidR="00476F80" w:rsidRPr="00CD4FC7" w:rsidRDefault="00476F80" w:rsidP="00476F80">
      <w:pPr>
        <w:spacing w:before="100" w:beforeAutospacing="1" w:after="100" w:afterAutospacing="1" w:line="240" w:lineRule="auto"/>
        <w:rPr>
          <w:rFonts w:eastAsia="Times New Roman" w:cstheme="minorHAnsi"/>
          <w:bCs/>
          <w:i/>
          <w:lang w:eastAsia="hr-HR"/>
        </w:rPr>
      </w:pPr>
    </w:p>
    <w:sectPr w:rsidR="00476F80" w:rsidRPr="00CD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2893"/>
    <w:multiLevelType w:val="hybridMultilevel"/>
    <w:tmpl w:val="2C10D22C"/>
    <w:lvl w:ilvl="0" w:tplc="6D4C6E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57106CC"/>
    <w:multiLevelType w:val="multilevel"/>
    <w:tmpl w:val="0530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D4FDD"/>
    <w:multiLevelType w:val="hybridMultilevel"/>
    <w:tmpl w:val="1AAE05FA"/>
    <w:lvl w:ilvl="0" w:tplc="6D4C6E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F4"/>
    <w:rsid w:val="00045768"/>
    <w:rsid w:val="0018122E"/>
    <w:rsid w:val="00194BD1"/>
    <w:rsid w:val="001B5E5A"/>
    <w:rsid w:val="00205C89"/>
    <w:rsid w:val="00207E59"/>
    <w:rsid w:val="0029478B"/>
    <w:rsid w:val="002A1ACD"/>
    <w:rsid w:val="002A5A2E"/>
    <w:rsid w:val="002B0DC5"/>
    <w:rsid w:val="002C4025"/>
    <w:rsid w:val="002F4AA1"/>
    <w:rsid w:val="003006AC"/>
    <w:rsid w:val="00342E4B"/>
    <w:rsid w:val="003661BE"/>
    <w:rsid w:val="00384A35"/>
    <w:rsid w:val="003972A2"/>
    <w:rsid w:val="003C79A0"/>
    <w:rsid w:val="004420D2"/>
    <w:rsid w:val="00463256"/>
    <w:rsid w:val="00476F80"/>
    <w:rsid w:val="00595AEE"/>
    <w:rsid w:val="00606A41"/>
    <w:rsid w:val="00637DF4"/>
    <w:rsid w:val="00640025"/>
    <w:rsid w:val="006749AF"/>
    <w:rsid w:val="00685DD4"/>
    <w:rsid w:val="006C0B20"/>
    <w:rsid w:val="006D2652"/>
    <w:rsid w:val="007511E7"/>
    <w:rsid w:val="007A4D57"/>
    <w:rsid w:val="007E25CA"/>
    <w:rsid w:val="007E5D47"/>
    <w:rsid w:val="00893069"/>
    <w:rsid w:val="008F37B3"/>
    <w:rsid w:val="009A17C1"/>
    <w:rsid w:val="009A2128"/>
    <w:rsid w:val="00A306E3"/>
    <w:rsid w:val="00A9102C"/>
    <w:rsid w:val="00A95FA4"/>
    <w:rsid w:val="00B00F91"/>
    <w:rsid w:val="00BA75CB"/>
    <w:rsid w:val="00BF0C09"/>
    <w:rsid w:val="00C80E3A"/>
    <w:rsid w:val="00CD4FC7"/>
    <w:rsid w:val="00D17AF0"/>
    <w:rsid w:val="00D557D1"/>
    <w:rsid w:val="00D837DE"/>
    <w:rsid w:val="00E56A34"/>
    <w:rsid w:val="00FD22FD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CE12"/>
  <w15:chartTrackingRefBased/>
  <w15:docId w15:val="{C5130ADA-D732-4A5A-99C2-ACFF1A66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F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06A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A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76F8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76F8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76F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os-studenci.skole.hr/natje_a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z/317/Zakon-o-odgoju-i-obrazovanju-u-osnovnoj-i-srednjoj-%C5%A1koli" TargetMode="External"/><Relationship Id="rId11" Type="http://schemas.openxmlformats.org/officeDocument/2006/relationships/hyperlink" Target="https://loomen.carnet.hr/pluginfile.php/2141826/mod_resource/content/0/Kompetencije%20u%C4%8Ditelja%2021.%20stolje%C4%87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9_01_7_1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0_04_43_89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3173-31D5-4C26-A655-6343E3B4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Dell Studenci</cp:lastModifiedBy>
  <cp:revision>3</cp:revision>
  <cp:lastPrinted>2021-03-18T06:50:00Z</cp:lastPrinted>
  <dcterms:created xsi:type="dcterms:W3CDTF">2022-10-04T12:22:00Z</dcterms:created>
  <dcterms:modified xsi:type="dcterms:W3CDTF">2022-10-04T12:22:00Z</dcterms:modified>
</cp:coreProperties>
</file>